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附件1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48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年未来产业创新发展优秀典型案例</w:t>
      </w:r>
    </w:p>
    <w:p>
      <w:pPr>
        <w:tabs>
          <w:tab w:val="left" w:pos="7655"/>
          <w:tab w:val="left" w:pos="8505"/>
        </w:tabs>
        <w:spacing w:before="156" w:beforeLines="50" w:line="48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rPr>
          <w:rFonts w:ascii="Times New Roman" w:hAnsi="Times New Roman" w:eastAsia="黑体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应用方向：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案例类型：____________________________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牵头单位（公章）：____________________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</w:t>
      </w:r>
      <w:r>
        <w:rPr>
          <w:rFonts w:ascii="Times New Roman" w:hAnsi="Times New Roman" w:eastAsia="黑体" w:cs="黑体"/>
          <w:sz w:val="32"/>
          <w:szCs w:val="32"/>
        </w:rPr>
        <w:t>______________________________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联系电话：____________________________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</w:t>
      </w:r>
      <w:r>
        <w:rPr>
          <w:rFonts w:ascii="Times New Roman" w:hAnsi="Times New Roman" w:eastAsia="黑体" w:cs="黑体"/>
          <w:sz w:val="32"/>
          <w:szCs w:val="32"/>
        </w:rPr>
        <w:t>__________</w:t>
      </w:r>
      <w:r>
        <w:rPr>
          <w:rFonts w:hint="eastAsia" w:ascii="Times New Roman" w:hAnsi="Times New Roman" w:eastAsia="黑体" w:cs="黑体"/>
          <w:sz w:val="32"/>
          <w:szCs w:val="32"/>
        </w:rPr>
        <w:t>年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月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日</w:t>
      </w: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表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须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知</w:t>
      </w:r>
    </w:p>
    <w:p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一、申请单位应仔细阅读《工业和信息化部办公厅关于组织开展</w:t>
      </w:r>
      <w:r>
        <w:rPr>
          <w:rFonts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年未来产业创新发展优秀典型案例征集工作的通知》的有关说明，如实、详细地填写每一部分内容。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二、除另有说明外，申请表单位基本信息部分不得空缺，申请表案例基本信息部分根据案例类型选填。申请书要求提供证明材料的，请在申请书附件处进行补充。</w:t>
      </w:r>
    </w:p>
    <w:p>
      <w:pPr>
        <w:ind w:firstLine="64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四、纸质版申请材料要求盖章处，须加盖公章，复印无效，申请材料（含附件）需加盖骑缝章，交由推荐单位统一邮寄。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五、电子版材料内容、格式、附件应与纸质版材料一致。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六、申请单位或联合体所申报的案例需拥有自主知识产权，对提供参评的全部资料的真实性负责，并在（牵头）单位意见处签署真实性承诺。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七、如本申请表中填报的内容不足以全面说明申请案例的特点、优势和推广价值等方面内容，申请单位可另附详细说明材料，篇幅不限。</w:t>
      </w:r>
    </w:p>
    <w:p>
      <w:pPr>
        <w:pStyle w:val="2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3"/>
        <w:spacing w:before="312" w:after="312"/>
        <w:rPr>
          <w:rFonts w:ascii="Times New Roman" w:hAnsi="Times New Roma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1095"/>
        <w:gridCol w:w="719"/>
        <w:gridCol w:w="171"/>
        <w:gridCol w:w="1134"/>
        <w:gridCol w:w="1103"/>
        <w:gridCol w:w="144"/>
        <w:gridCol w:w="17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案例名称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（注：应体现案例特色亮点）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牵头</w:t>
            </w: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</w:rPr>
              <w:t>应</w:t>
            </w:r>
            <w:r>
              <w:rPr>
                <w:rFonts w:ascii="Times New Roman" w:hAnsi="Times New Roman"/>
                <w:sz w:val="24"/>
              </w:rPr>
              <w:t>与公章一致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联合体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□国有企业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□国有控股企业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□私营企业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□外资企业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□合资企业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□其他（请注明）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社会统一信用代码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员工总数</w:t>
            </w:r>
            <w:r>
              <w:rPr>
                <w:rFonts w:ascii="Times New Roman" w:hAnsi="Times New Roman"/>
                <w:sz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</w:rPr>
              <w:t>数量（人）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□是（上市时间：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，上市板块：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，股票代码：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是否“小巨人”企业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□是（□省市级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□国家级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</w:rPr>
              <w:t>工程或项目中应用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□是（项目名称：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单位概况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（包括但不限于核心业务、员工结构、研发投入情况、近三年技术成果和获奖情况，以及在未来产业六大方向及细分赛道的应用整体情况，800字以内）</w:t>
            </w:r>
          </w:p>
          <w:p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ascii="Times New Roman" w:hAnsi="Times New Roman"/>
              </w:rPr>
            </w:pPr>
          </w:p>
          <w:p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应用方向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□未来制造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□未来信息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□未来材料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□未来能源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□未来空间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□未来健康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（描述具体细分领域的研究方向、涉猎领域等，5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案例类型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□标志性产品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□领军企业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□典型应用场景（注：单选）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需求分析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结合所属行业发展现状、面临的痛点难点，描述该案例满足何种应用需求，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案例概述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（全面介绍案例的创新性经验做法、工作亮点和成效等，字数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字以内，可提供高清架构图</w:t>
            </w:r>
            <w:r>
              <w:rPr>
                <w:rFonts w:ascii="Times New Roman" w:hAnsi="Times New Roman"/>
                <w:sz w:val="24"/>
              </w:rPr>
              <w:t>1-3</w:t>
            </w:r>
            <w:r>
              <w:rPr>
                <w:rFonts w:hint="eastAsia" w:ascii="Times New Roman" w:hAnsi="Times New Roman"/>
                <w:sz w:val="24"/>
              </w:rPr>
              <w:t>张）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创新价值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（总结案例中的创新亮点，包括但不限于理念创新、组织创新、技术创新、模式创新、管理创新、机制创新等，5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>
            <w:pPr>
              <w:pStyle w:val="3"/>
              <w:spacing w:before="312" w:after="312"/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证明材料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（专利、论文、软著、标准、合同、各类证明和报告等）</w:t>
            </w:r>
          </w:p>
          <w:tbl>
            <w:tblPr>
              <w:tblStyle w:val="7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成果层级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发明专利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:SCI2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行标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应用证明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（三）单位意见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单位意见</w:t>
            </w:r>
          </w:p>
        </w:tc>
        <w:tc>
          <w:tcPr>
            <w:tcW w:w="7521" w:type="dxa"/>
            <w:gridSpan w:val="9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省级工业和信息化主管部门意见</w:t>
            </w:r>
          </w:p>
        </w:tc>
        <w:tc>
          <w:tcPr>
            <w:tcW w:w="7521" w:type="dxa"/>
            <w:gridSpan w:val="9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5EF23ED"/>
    <w:rsid w:val="770E391D"/>
    <w:rsid w:val="7C3E13C4"/>
    <w:rsid w:val="7C681310"/>
    <w:rsid w:val="7CEA5F37"/>
    <w:rsid w:val="7FDFB679"/>
    <w:rsid w:val="B4FE8EFB"/>
    <w:rsid w:val="BE876633"/>
    <w:rsid w:val="DF335EB7"/>
    <w:rsid w:val="E5DF4B46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495</Words>
  <Characters>2827</Characters>
  <Lines>23</Lines>
  <Paragraphs>6</Paragraphs>
  <TotalTime>35</TotalTime>
  <ScaleCrop>false</ScaleCrop>
  <LinksUpToDate>false</LinksUpToDate>
  <CharactersWithSpaces>3316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nxgxt</cp:lastModifiedBy>
  <cp:lastPrinted>2024-11-22T08:58:00Z</cp:lastPrinted>
  <dcterms:modified xsi:type="dcterms:W3CDTF">2024-12-20T10:53:04Z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0AFC7AD764914A978E5B4F4C58767EBB_13</vt:lpwstr>
  </property>
</Properties>
</file>